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4p76rhttnrvx" w:id="0"/>
      <w:bookmarkEnd w:id="0"/>
      <w:r w:rsidDel="00000000" w:rsidR="00000000" w:rsidRPr="00000000">
        <w:rPr>
          <w:rtl w:val="0"/>
        </w:rPr>
        <w:t xml:space="preserve">Longest Palindromic Substring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uu4wcr6v6rr7" w:id="1"/>
      <w:bookmarkEnd w:id="1"/>
      <w:r w:rsidDel="00000000" w:rsidR="00000000" w:rsidRPr="00000000">
        <w:rPr>
          <w:rtl w:val="0"/>
        </w:rPr>
        <w:t xml:space="preserve">Approach: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 can solve this problem using Dynamic Programming or by expanding around centers.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 the DP method, we maintain a table where dp[i][j] = true if the substring s[i...j] is a palindrome.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 fill this table based on the substring length and return the longest substring marked true.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Alternatively, expanding around each index as the middle of a palindrome also works efficiently.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Time Complexity: O(n^2</w:t>
      </w:r>
      <w:r w:rsidDel="00000000" w:rsidR="00000000" w:rsidRPr="00000000">
        <w:rPr>
          <w:i w:val="1"/>
          <w:rtl w:val="0"/>
        </w:rPr>
        <w:t xml:space="preserve">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tmlqdaxkc7h1" w:id="2"/>
      <w:bookmarkEnd w:id="2"/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LeetCode: Longest Palindromic Substring (Problem 5)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CLRS: Dynamic Programming overview (palindromes)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